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2_4seq1.xml.htm"/>
      <w:bookmarkStart w:id="1" w:name="kstm2620529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Moomaw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Commercial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3,108</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187,666</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4,358</w:t>
            </w:r>
            <w:r>
              <w:rPr>
                <w:rFonts w:ascii="Times;serif" w:hAnsi="Times;serif"/>
                <w:color w:val="008000"/>
                <w:position w:val="7"/>
                <w:sz w:val="16"/>
                <w:sz w:val="20"/>
                <w:shd w:fill="FFFFFF" w:val="clear"/>
              </w:rPr>
              <w:t>(4)</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192,024</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675</w:t>
            </w:r>
            <w:r>
              <w:rPr>
                <w:rFonts w:ascii="Times;serif" w:hAnsi="Times;serif"/>
                <w:color w:val="008000"/>
                <w:position w:val="7"/>
                <w:sz w:val="16"/>
                <w:sz w:val="20"/>
                <w:shd w:fill="FFFFFF" w:val="clear"/>
              </w:rPr>
              <w:t>(6)</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191,349</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8,864</w:t>
            </w:r>
            <w:r>
              <w:rPr>
                <w:rFonts w:ascii="Times;serif" w:hAnsi="Times;serif"/>
                <w:color w:val="008000"/>
                <w:position w:val="7"/>
                <w:sz w:val="16"/>
                <w:sz w:val="20"/>
                <w:shd w:fill="FFFFFF" w:val="clear"/>
              </w:rPr>
              <w:t>(6)</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182,485</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49,723 PSUs which vest upon the following time-based vesting schedule: 25% of the PSUs shall vest on January 11, 2025 and the remaining PSUs shall vest ratably on a quarterly basis over three years thereafter. Of those PSUs, a total of 31,077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10,416 unvested restricted stock units ("RSUs") of the 83,333 RSUs granted to the Reporting Person on January 11, 2023, (ii) 18,646 unvested RSUs of the 49,723 RSUs granted to the Reporting Person on January 11, 2024, (iii) 43,580 unvested RSUs of the 69,729 RSUs granted to the Reporting Person on January 11, 2025, (iv) 32,955 RSUs granted to the Reporting Person on January 16, 2026, none of which have vested as of the date of this Form 4 and (v) 2,650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69,729 PSUs which vest upon the following time-based vesting schedule: 25% of the PSUs shall vest on January 11, 2026 and the remaining PSUs shall vest ratably on a quarterly basis over three years thereafter. Of those PSUs, a total of 26,149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Moomaw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2592"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903</Words>
  <Characters>4687</Characters>
  <CharactersWithSpaces>5495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