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1789-5_4seq1.xml.htm"/>
      <w:bookmarkStart w:id="1" w:name="kstm2611789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Kaseta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CFO and COO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12"/>
        <w:gridCol w:w="782"/>
        <w:gridCol w:w="606"/>
        <w:gridCol w:w="343"/>
        <w:gridCol w:w="962"/>
        <w:gridCol w:w="432"/>
        <w:gridCol w:w="982"/>
        <w:gridCol w:w="1165"/>
        <w:gridCol w:w="975"/>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23,821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435,676</w:t>
            </w:r>
            <w:r>
              <w:rPr>
                <w:rFonts w:ascii="Times;serif" w:hAnsi="Times;serif"/>
                <w:color w:val="008000"/>
                <w:position w:val="7"/>
                <w:sz w:val="16"/>
                <w:sz w:val="20"/>
                <w:shd w:fill="FFFFFF" w:val="clear"/>
              </w:rPr>
              <w:t>(1)</w:t>
            </w:r>
            <w:r>
              <w:rPr/>
              <w:t xml:space="preserve"> </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23,821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40.1431</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411,855</w:t>
            </w:r>
            <w:r>
              <w:rPr>
                <w:rFonts w:ascii="Times;serif" w:hAnsi="Times;serif"/>
                <w:color w:val="008000"/>
                <w:position w:val="7"/>
                <w:sz w:val="16"/>
                <w:sz w:val="20"/>
                <w:shd w:fill="FFFFFF" w:val="clear"/>
              </w:rPr>
              <w:t>(1)</w:t>
            </w:r>
            <w:r>
              <w:rPr/>
              <w:t xml:space="preserve"> </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5,828</w:t>
            </w:r>
            <w:r>
              <w:rPr>
                <w:rFonts w:ascii="Times;serif" w:hAnsi="Times;serif"/>
                <w:color w:val="008000"/>
                <w:position w:val="7"/>
                <w:sz w:val="16"/>
                <w:sz w:val="20"/>
                <w:shd w:fill="FFFFFF" w:val="clear"/>
              </w:rPr>
              <w:t>(5)</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417,683</w:t>
            </w:r>
            <w:r>
              <w:rPr>
                <w:rFonts w:ascii="Times;serif" w:hAnsi="Times;serif"/>
                <w:color w:val="008000"/>
                <w:position w:val="7"/>
                <w:sz w:val="16"/>
                <w:sz w:val="20"/>
                <w:shd w:fill="FFFFFF" w:val="clear"/>
              </w:rPr>
              <w:t>(1)</w:t>
            </w:r>
            <w:r>
              <w:rPr/>
              <w:t xml:space="preserve"> </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7,050</w:t>
            </w:r>
            <w:r>
              <w:rPr>
                <w:rFonts w:ascii="Times;serif" w:hAnsi="Times;serif"/>
                <w:color w:val="008000"/>
                <w:position w:val="7"/>
                <w:sz w:val="16"/>
                <w:sz w:val="20"/>
                <w:shd w:fill="FFFFFF" w:val="clear"/>
              </w:rPr>
              <w:t>(6)</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424,733</w:t>
            </w:r>
            <w:r>
              <w:rPr>
                <w:rFonts w:ascii="Times;serif" w:hAnsi="Times;serif"/>
                <w:color w:val="008000"/>
                <w:position w:val="7"/>
                <w:sz w:val="16"/>
                <w:sz w:val="20"/>
                <w:shd w:fill="FFFFFF" w:val="clear"/>
              </w:rPr>
              <w:t>(1)</w:t>
            </w:r>
            <w:r>
              <w:rPr/>
              <w:t xml:space="preserve"> </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r>
              <w:rPr/>
              <w:t xml:space="preserve"> </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18,958</w:t>
            </w:r>
            <w:r>
              <w:rPr>
                <w:rFonts w:ascii="Times;serif" w:hAnsi="Times;serif"/>
                <w:color w:val="008000"/>
                <w:position w:val="7"/>
                <w:sz w:val="16"/>
                <w:sz w:val="20"/>
                <w:shd w:fill="FFFFFF" w:val="clear"/>
              </w:rPr>
              <w:t>(8)</w:t>
            </w:r>
            <w:r>
              <w:rPr/>
              <w:t xml:space="preserve"> </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38.37</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405,775</w:t>
            </w:r>
            <w:r>
              <w:rPr>
                <w:rFonts w:ascii="Times;serif" w:hAnsi="Times;serif"/>
                <w:color w:val="008000"/>
                <w:position w:val="7"/>
                <w:sz w:val="16"/>
                <w:sz w:val="20"/>
                <w:shd w:fill="FFFFFF" w:val="clear"/>
              </w:rPr>
              <w:t>(1)</w:t>
            </w:r>
            <w:r>
              <w:rPr/>
              <w:t xml:space="preserve"> </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23,821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11/30/2024</w:t>
            </w: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5,828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40,797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77,547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(i) 23,375 unvested restricted stock units ("RSUs") of the 124,667 RSUs granted to the Reporting Person on January 11, 2023, (ii) 40,797 unvested RSUs and 21,875 unvested RSUs of the 93,250 RSUs and 50,000 RSUs granted to the Reporting Person on January 11, 2024 and January 15, 2024, respectively, (iii) 77,547 unvested RSUs of the 112,797 RSUs granted to the Reporting Person on January 11, 2025, (iv) 59,320 RSUs granted to the Reporting Person on January 16, 2026, none of which have vested as of the date of this Form 4 and (v) 11,694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subsequent sale of the underlying shares from the exercise of stock options reported on this Form 4. Transaction effected pursuant to a Rule 10b5-1 plan adopted by the Reporting Person on November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is the volume weighted average price of all transactions made by the Reporting Person on the transaction date for prices ranging from $40.00 to $40.62.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11, 2024, the Reporting Person was granted 93,250 PSUs with 25% of the RSUs vesting on January 11, 2025 and the remaining RSUs vesting ratably on a quarterly basis over three years thereafter. Of those RSUs, a total of 52,453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11, 2025, the Reporting Person was granted 112,797 PSUs with 25% of the RSUs vesting on January 11, 2026 and the remaining RSUs vesting ratably on a quarterly basis over three years thereafter. Of those RSUs, a total of 35,250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of common stock were sold to cover taxes associated with the settlement of RSUs and PSUs that were initially granted to the Reporting Person on January 11, 2023, January 11, 2024, January 15, 2024 and January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option vested over a four-year period with 25% vesting on November 30, 2021 and the remaining 75% vesting ratably on a monthly basis over three years thereafter and became fully vested on November 30,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Kaseta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4346"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1074</Words>
  <Characters>5549</Characters>
  <CharactersWithSpaces>6509</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