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7280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7280275"/>
                    </a:xfrm>
                    <a:prstGeom prst="rect">
                      <a:avLst/>
                    </a:prstGeom>
                    <a:noFill/>
                  </pic:spPr>
                </pic:pic>
              </a:graphicData>
            </a:graphic>
          </wp:anchor>
        </w:drawing>
      </w:r>
    </w:p>
    <w:p>
      <w:pPr>
        <w:sectPr>
          <w:pgSz w:w="11900" w:h="16855"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jc w:val="center"/>
              <w:ind w:right="6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4"/>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Amereus Group PTE LTD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4"/>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07/25/2018</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jc w:val="center"/>
              <w:ind w:right="232"/>
              <w:spacing w:after="0"/>
              <w:rPr>
                <w:sz w:val="20"/>
                <w:szCs w:val="20"/>
                <w:color w:val="auto"/>
              </w:rPr>
            </w:pPr>
            <w:r>
              <w:rPr>
                <w:rFonts w:ascii="Arial" w:cs="Arial" w:eastAsia="Arial" w:hAnsi="Arial"/>
                <w:sz w:val="14"/>
                <w:szCs w:val="14"/>
                <w:color w:val="auto"/>
                <w:w w:val="92"/>
              </w:rPr>
              <w:t>(First)</w:t>
            </w:r>
          </w:p>
        </w:tc>
        <w:tc>
          <w:tcPr>
            <w:tcW w:w="1100" w:type="dxa"/>
            <w:vAlign w:val="bottom"/>
            <w:gridSpan w:val="2"/>
          </w:tcPr>
          <w:p>
            <w:pPr>
              <w:ind w:left="6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w w:val="93"/>
              </w:rPr>
              <w:t>101 CECIL STREET #22-01</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9"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SINGAPORE U0</w:t>
      </w:r>
    </w:p>
    <w:p>
      <w:pPr>
        <w:spacing w:after="0" w:line="34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Liquidia Technologies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LQDA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83"/>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Borders>
              <w:bottom w:val="single" w:sz="8" w:color="2C2C2C"/>
            </w:tcBorders>
          </w:tcPr>
          <w:p>
            <w:pPr>
              <w:spacing w:after="0"/>
              <w:rPr>
                <w:sz w:val="15"/>
                <w:szCs w:val="15"/>
                <w:color w:val="auto"/>
              </w:rPr>
            </w:pPr>
          </w:p>
        </w:tc>
        <w:tc>
          <w:tcPr>
            <w:tcW w:w="2680" w:type="dxa"/>
            <w:vAlign w:val="bottom"/>
            <w:tcBorders>
              <w:bottom w:val="single" w:sz="8" w:color="2C2C2C"/>
            </w:tcBorders>
          </w:tcPr>
          <w:p>
            <w:pPr>
              <w:spacing w:after="0"/>
              <w:rPr>
                <w:sz w:val="15"/>
                <w:szCs w:val="15"/>
                <w:color w:val="auto"/>
              </w:rPr>
            </w:pPr>
          </w:p>
        </w:tc>
      </w:tr>
      <w:tr>
        <w:trPr>
          <w:trHeight w:val="216"/>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5"/>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bl>
    <w:p>
      <w:pPr>
        <w:spacing w:after="0" w:line="1" w:lineRule="exact"/>
        <w:rPr>
          <w:sz w:val="24"/>
          <w:szCs w:val="24"/>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21" w:lineRule="exact"/>
        <w:rPr>
          <w:sz w:val="24"/>
          <w:szCs w:val="24"/>
          <w:color w:val="auto"/>
        </w:rPr>
      </w:pPr>
    </w:p>
    <w:p>
      <w:pPr>
        <w:sectPr>
          <w:pgSz w:w="11900" w:h="16855"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4"/>
                <w:szCs w:val="14"/>
                <w:color w:val="auto"/>
              </w:rPr>
            </w:pPr>
          </w:p>
        </w:tc>
        <w:tc>
          <w:tcPr>
            <w:tcW w:w="1700" w:type="dxa"/>
            <w:vAlign w:val="bottom"/>
            <w:gridSpan w:val="4"/>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Series D Preferred Stock</w:t>
            </w:r>
          </w:p>
        </w:tc>
        <w:tc>
          <w:tcPr>
            <w:tcW w:w="1600" w:type="dxa"/>
            <w:vAlign w:val="bottom"/>
            <w:tcBorders>
              <w:bottom w:val="single" w:sz="8" w:color="2C2C2C"/>
            </w:tcBorders>
            <w:gridSpan w:val="2"/>
          </w:tcPr>
          <w:p>
            <w:pPr>
              <w:jc w:val="right"/>
              <w:ind w:right="332"/>
              <w:spacing w:after="0"/>
              <w:rPr>
                <w:sz w:val="20"/>
                <w:szCs w:val="20"/>
                <w:color w:val="auto"/>
              </w:rPr>
            </w:pPr>
            <w:r>
              <w:rPr>
                <w:rFonts w:ascii="Arial" w:cs="Arial" w:eastAsia="Arial" w:hAnsi="Arial"/>
                <w:sz w:val="11"/>
                <w:szCs w:val="11"/>
                <w:color w:val="008000"/>
              </w:rPr>
              <w:t>(1)</w:t>
            </w:r>
          </w:p>
        </w:tc>
        <w:tc>
          <w:tcPr>
            <w:tcW w:w="780" w:type="dxa"/>
            <w:vAlign w:val="bottom"/>
            <w:tcBorders>
              <w:bottom w:val="single" w:sz="8" w:color="2C2C2C"/>
            </w:tcBorders>
            <w:gridSpan w:val="3"/>
          </w:tcPr>
          <w:p>
            <w:pPr>
              <w:jc w:val="right"/>
              <w:ind w:right="340"/>
              <w:spacing w:after="0"/>
              <w:rPr>
                <w:sz w:val="20"/>
                <w:szCs w:val="20"/>
                <w:color w:val="auto"/>
              </w:rPr>
            </w:pPr>
            <w:r>
              <w:rPr>
                <w:rFonts w:ascii="Arial" w:cs="Arial" w:eastAsia="Arial" w:hAnsi="Arial"/>
                <w:sz w:val="11"/>
                <w:szCs w:val="11"/>
                <w:color w:val="008000"/>
              </w:rPr>
              <w:t>(1)</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5"/>
              </w:rPr>
              <w:t>496,815</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ind w:left="26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(2)(3)</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84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8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6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Amereus Group PTE LTD</w:t>
              </w:r>
            </w:hyperlink>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(Last)</w:t>
            </w:r>
          </w:p>
        </w:tc>
        <w:tc>
          <w:tcPr>
            <w:tcW w:w="1500" w:type="dxa"/>
            <w:vAlign w:val="bottom"/>
            <w:gridSpan w:val="2"/>
          </w:tcPr>
          <w:p>
            <w:pPr>
              <w:ind w:left="220"/>
              <w:spacing w:after="0"/>
              <w:rPr>
                <w:sz w:val="20"/>
                <w:szCs w:val="20"/>
                <w:color w:val="auto"/>
              </w:rPr>
            </w:pPr>
            <w:r>
              <w:rPr>
                <w:rFonts w:ascii="Arial" w:cs="Arial" w:eastAsia="Arial" w:hAnsi="Arial"/>
                <w:sz w:val="14"/>
                <w:szCs w:val="14"/>
                <w:color w:val="auto"/>
              </w:rPr>
              <w:t>(First)</w:t>
            </w:r>
          </w:p>
        </w:tc>
        <w:tc>
          <w:tcPr>
            <w:tcW w:w="1600" w:type="dxa"/>
            <w:vAlign w:val="bottom"/>
            <w:gridSpan w:val="2"/>
          </w:tcPr>
          <w:p>
            <w:pPr>
              <w:ind w:left="18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101 CECIL STREET #22-01</w:t>
            </w: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0"/>
                <w:szCs w:val="20"/>
                <w:color w:val="auto"/>
              </w:rPr>
            </w:pPr>
            <w:r>
              <w:rPr>
                <w:rFonts w:ascii="Arial" w:cs="Arial" w:eastAsia="Arial" w:hAnsi="Arial"/>
                <w:sz w:val="18"/>
                <w:szCs w:val="18"/>
                <w:color w:val="0000FF"/>
              </w:rPr>
              <w:t>SINGAPORE</w:t>
            </w:r>
          </w:p>
        </w:tc>
        <w:tc>
          <w:tcPr>
            <w:tcW w:w="1500" w:type="dxa"/>
            <w:vAlign w:val="bottom"/>
            <w:gridSpan w:val="2"/>
          </w:tcPr>
          <w:p>
            <w:pPr>
              <w:ind w:left="220"/>
              <w:spacing w:after="0"/>
              <w:rPr>
                <w:sz w:val="20"/>
                <w:szCs w:val="20"/>
                <w:color w:val="auto"/>
              </w:rPr>
            </w:pPr>
            <w:r>
              <w:rPr>
                <w:rFonts w:ascii="Arial" w:cs="Arial" w:eastAsia="Arial" w:hAnsi="Arial"/>
                <w:sz w:val="18"/>
                <w:szCs w:val="18"/>
                <w:color w:val="0000FF"/>
              </w:rPr>
              <w:t>U0</w:t>
            </w: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(City)</w:t>
            </w:r>
          </w:p>
        </w:tc>
        <w:tc>
          <w:tcPr>
            <w:tcW w:w="1500" w:type="dxa"/>
            <w:vAlign w:val="bottom"/>
            <w:gridSpan w:val="2"/>
          </w:tcPr>
          <w:p>
            <w:pPr>
              <w:ind w:left="220"/>
              <w:spacing w:after="0"/>
              <w:rPr>
                <w:sz w:val="20"/>
                <w:szCs w:val="20"/>
                <w:color w:val="auto"/>
              </w:rPr>
            </w:pPr>
            <w:r>
              <w:rPr>
                <w:rFonts w:ascii="Arial" w:cs="Arial" w:eastAsia="Arial" w:hAnsi="Arial"/>
                <w:sz w:val="14"/>
                <w:szCs w:val="14"/>
                <w:color w:val="auto"/>
              </w:rPr>
              <w:t>(State)</w:t>
            </w:r>
          </w:p>
        </w:tc>
        <w:tc>
          <w:tcPr>
            <w:tcW w:w="1600" w:type="dxa"/>
            <w:vAlign w:val="bottom"/>
            <w:gridSpan w:val="2"/>
          </w:tcPr>
          <w:p>
            <w:pPr>
              <w:ind w:left="180"/>
              <w:spacing w:after="0"/>
              <w:rPr>
                <w:sz w:val="20"/>
                <w:szCs w:val="20"/>
                <w:color w:val="auto"/>
              </w:rPr>
            </w:pPr>
            <w:r>
              <w:rPr>
                <w:rFonts w:ascii="Arial" w:cs="Arial" w:eastAsia="Arial" w:hAnsi="Arial"/>
                <w:sz w:val="14"/>
                <w:szCs w:val="14"/>
                <w:color w:val="auto"/>
              </w:rPr>
              <w:t>(Zip)</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3">
        <w:r>
          <w:rPr>
            <w:rFonts w:ascii="Arial" w:cs="Arial" w:eastAsia="Arial" w:hAnsi="Arial"/>
            <w:sz w:val="22"/>
            <w:szCs w:val="22"/>
            <w:u w:val="single" w:color="auto"/>
            <w:color w:val="0000EE"/>
          </w:rPr>
          <w:t>VOROBYEV MAXIM YURYEVICH</w:t>
        </w:r>
      </w:hyperlink>
    </w:p>
    <w:p>
      <w:pPr>
        <w:spacing w:after="0" w:line="317" w:lineRule="exact"/>
        <w:rPr>
          <w:sz w:val="24"/>
          <w:szCs w:val="24"/>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101 CECIL STREET #22-01</w:t>
      </w:r>
    </w:p>
    <w:p>
      <w:pPr>
        <w:spacing w:after="0" w:line="354"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560" w:val="left"/>
        </w:tabs>
        <w:rPr>
          <w:sz w:val="20"/>
          <w:szCs w:val="20"/>
          <w:color w:val="auto"/>
        </w:rPr>
      </w:pPr>
      <w:r>
        <w:rPr>
          <w:rFonts w:ascii="Arial" w:cs="Arial" w:eastAsia="Arial" w:hAnsi="Arial"/>
          <w:sz w:val="18"/>
          <w:szCs w:val="18"/>
          <w:color w:val="0000FF"/>
        </w:rPr>
        <w:t>SINGAPORE</w:t>
      </w:r>
      <w:r>
        <w:rPr>
          <w:sz w:val="20"/>
          <w:szCs w:val="20"/>
          <w:color w:val="auto"/>
        </w:rPr>
        <w:tab/>
      </w:r>
      <w:r>
        <w:rPr>
          <w:rFonts w:ascii="Arial" w:cs="Arial" w:eastAsia="Arial" w:hAnsi="Arial"/>
          <w:sz w:val="18"/>
          <w:szCs w:val="18"/>
          <w:color w:val="0000FF"/>
        </w:rPr>
        <w:t>U0</w:t>
      </w:r>
    </w:p>
    <w:p>
      <w:pPr>
        <w:spacing w:after="0" w:line="341" w:lineRule="exact"/>
        <w:rPr>
          <w:sz w:val="24"/>
          <w:szCs w:val="24"/>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3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All shares of Series D Preferred Stock, par value $0.001 per share, have no expiration date and will automatically convert into the Issuer's common stock on approximately a 0.0594-for-1 basis immediately prior to the closing of the initial public offering.</w:t>
      </w:r>
    </w:p>
    <w:p>
      <w:pPr>
        <w:spacing w:after="0" w:line="30" w:lineRule="exact"/>
        <w:rPr>
          <w:rFonts w:ascii="Arial" w:cs="Arial" w:eastAsia="Arial" w:hAnsi="Arial"/>
          <w:sz w:val="14"/>
          <w:szCs w:val="14"/>
          <w:color w:val="008000"/>
        </w:rPr>
      </w:pPr>
    </w:p>
    <w:p>
      <w:pPr>
        <w:ind w:left="40" w:right="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are held of record by Amereus Group PTE LTD ("Amereus "). Maxim Yuryevich Vorobyev, a natural person, is the sole shareholder and a director of Amereus. By virtue of such relationship, Mr. Vorobyev may be deemed to have beneficial ownership over such securities.</w:t>
      </w:r>
    </w:p>
    <w:p>
      <w:pPr>
        <w:spacing w:after="0" w:line="30" w:lineRule="exact"/>
        <w:rPr>
          <w:rFonts w:ascii="Arial" w:cs="Arial" w:eastAsia="Arial" w:hAnsi="Arial"/>
          <w:sz w:val="14"/>
          <w:szCs w:val="14"/>
          <w:color w:val="008000"/>
        </w:rPr>
      </w:pPr>
    </w:p>
    <w:p>
      <w:pPr>
        <w:jc w:val="both"/>
        <w:ind w:left="40" w:right="2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report on Form 3 is jointly filed by Amereus and Mr. Vorobyev. Each of the reporting persons disclaims beneficial ownership of the securities reported herein for purposes of Rule 16a-1(a) under the Securities Exchange Act of 1934, as amended (the "Exchange Act"), except to the extent of its or his pecuniary interest therein, if any. This report shall not be deemed an admission that any of the reporting persons is a beneficial owner of such securities for the purposes of Section 16 of the Exchange Act, or for any other purposes.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4"/>
              </w:rPr>
              <w:t>/s/ Brian Tribuna, attorney in</w:t>
            </w: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07/25/2018</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ectPr>
          <w:pgSz w:w="11900" w:h="16855" w:orient="portrait"/>
          <w:cols w:equalWidth="0" w:num="1">
            <w:col w:w="11420"/>
          </w:cols>
          <w:pgMar w:left="240" w:top="226" w:right="239" w:bottom="0" w:gutter="0" w:footer="0" w:header="0"/>
          <w:type w:val="continuous"/>
        </w:sectPr>
      </w:pPr>
    </w:p>
    <w:bookmarkStart w:id="1" w:name="page2"/>
    <w:bookmarkEnd w:id="1"/>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25" w:right="12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MAXIM YURYEVICH VOROBYEV AND AMEREUS GROUP PTE LTD (each a “Filer”, known collectively as the “Filers”) LIMITED POWER OF ATTORNEY</w:t>
      </w:r>
    </w:p>
    <w:p>
      <w:pPr>
        <w:spacing w:after="0" w:line="18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i w:val="1"/>
          <w:iCs w:val="1"/>
          <w:color w:val="auto"/>
        </w:rPr>
        <w:t xml:space="preserve">KNOW ALL BY THESE PRESENTS, </w:t>
      </w:r>
      <w:r>
        <w:rPr>
          <w:rFonts w:ascii="Arial" w:cs="Arial" w:eastAsia="Arial" w:hAnsi="Arial"/>
          <w:sz w:val="18"/>
          <w:szCs w:val="18"/>
          <w:color w:val="auto"/>
        </w:rPr>
        <w:t>that each of the undersigned hereby constitutes and appoints Neal Fowler, Kevin Gordon, Michael Goldstein,</w:t>
      </w:r>
      <w:r>
        <w:rPr>
          <w:rFonts w:ascii="Arial" w:cs="Arial" w:eastAsia="Arial" w:hAnsi="Arial"/>
          <w:sz w:val="18"/>
          <w:szCs w:val="18"/>
          <w:i w:val="1"/>
          <w:iCs w:val="1"/>
          <w:color w:val="auto"/>
        </w:rPr>
        <w:t xml:space="preserve"> </w:t>
      </w:r>
      <w:r>
        <w:rPr>
          <w:rFonts w:ascii="Arial" w:cs="Arial" w:eastAsia="Arial" w:hAnsi="Arial"/>
          <w:sz w:val="18"/>
          <w:szCs w:val="18"/>
          <w:color w:val="auto"/>
        </w:rPr>
        <w:t>and Brian Tribuna, subject to the expiration of this Limited Power of Attorney as set forth below, and each of them signing singly, and with full power of substitution, as the undersigned’s true and lawful attorney-in-fact to:</w:t>
      </w:r>
    </w:p>
    <w:p>
      <w:pPr>
        <w:spacing w:after="0" w:line="181" w:lineRule="exact"/>
        <w:rPr>
          <w:sz w:val="20"/>
          <w:szCs w:val="20"/>
          <w:color w:val="auto"/>
        </w:rPr>
      </w:pPr>
    </w:p>
    <w:p>
      <w:pPr>
        <w:ind w:left="660" w:right="20" w:hanging="328"/>
        <w:spacing w:after="0" w:line="254" w:lineRule="auto"/>
        <w:tabs>
          <w:tab w:leader="none" w:pos="667"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for and on behalf of the undersigned, and submit to the U.S.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a Form ID and the Form ID Confirming Statement, including amendments thereto, and any other documents necessary or appropriate to obtain codes and passwords enabling the undersigned to make electronic filings of a Forms 3, 4, and 5 with the SEC required by Section 16(a)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for the undersigned;</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Execute for and on behalf of the undersigned Forms 3, 4, and 5 in accordance with Section 16(a) of the Exchange Act, and the rules thereunder;</w:t>
      </w:r>
    </w:p>
    <w:p>
      <w:pPr>
        <w:spacing w:after="0" w:line="32" w:lineRule="exact"/>
        <w:rPr>
          <w:rFonts w:ascii="Arial" w:cs="Arial" w:eastAsia="Arial" w:hAnsi="Arial"/>
          <w:sz w:val="16"/>
          <w:szCs w:val="16"/>
          <w:color w:val="auto"/>
        </w:rPr>
      </w:pPr>
    </w:p>
    <w:p>
      <w:pPr>
        <w:ind w:left="660" w:right="60" w:hanging="328"/>
        <w:spacing w:after="0" w:line="254" w:lineRule="auto"/>
        <w:tabs>
          <w:tab w:leader="none" w:pos="667"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190"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Liquidia Technologies,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assuming, any responsibilities of the undersigned to comply with Section 16(a) of the Exchange Act, or any other law, rule or regulation whatsoever.</w:t>
      </w:r>
    </w:p>
    <w:p>
      <w:pPr>
        <w:spacing w:after="0" w:line="17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This Limited Power of Attorney shall remain in full force and effect until the earlier of (i) the time that the undersigned is no longer required to file Forms 3, 4, and 5 with respect to the undersigned’s holdings of and transactions in securities issued by the Company, and (iii) the revocation by the undersigned in a signed writing delivered to the foregoing attorneys-in-fact.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 WITNESS WHEREOF, </w:t>
      </w:r>
      <w:r>
        <w:rPr>
          <w:rFonts w:ascii="Arial" w:cs="Arial" w:eastAsia="Arial" w:hAnsi="Arial"/>
          <w:sz w:val="18"/>
          <w:szCs w:val="18"/>
          <w:color w:val="auto"/>
        </w:rPr>
        <w:t>the undersigned has caused this Limited Power of Attorney to be executed as of July 23</w:t>
      </w:r>
      <w:r>
        <w:rPr>
          <w:rFonts w:ascii="Arial" w:cs="Arial" w:eastAsia="Arial" w:hAnsi="Arial"/>
          <w:sz w:val="23"/>
          <w:szCs w:val="23"/>
          <w:color w:val="auto"/>
          <w:vertAlign w:val="superscript"/>
        </w:rPr>
        <w:t>rd</w:t>
      </w:r>
      <w:r>
        <w:rPr>
          <w:rFonts w:ascii="Arial" w:cs="Arial" w:eastAsia="Arial" w:hAnsi="Arial"/>
          <w:sz w:val="18"/>
          <w:szCs w:val="18"/>
          <w:color w:val="auto"/>
        </w:rPr>
        <w:t>, 2018.</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AMEREUS GROUP PTE LTD</w:t>
      </w:r>
    </w:p>
    <w:p>
      <w:pPr>
        <w:spacing w:after="0" w:line="229"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Ms. Zhang Xueqi</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Ms. Zhang Xueqi</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98"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MAXIM YURYEVICH VOROBYEV</w:t>
      </w:r>
    </w:p>
    <w:p>
      <w:pPr>
        <w:spacing w:after="0" w:line="229"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/s/ MAXIM YURYEVICH VOROBYEV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1" Type="http://schemas.openxmlformats.org/officeDocument/2006/relationships/hyperlink" Target="http://www.sec.gov/cgi-bin/browse-edgar?action=getcompany&amp;CIK=0001748091" TargetMode="External"/><Relationship Id="rId12" Type="http://schemas.openxmlformats.org/officeDocument/2006/relationships/hyperlink" Target="http://www.sec.gov/cgi-bin/browse-edgar?action=getcompany&amp;CIK=0001330436" TargetMode="External"/><Relationship Id="rId13" Type="http://schemas.openxmlformats.org/officeDocument/2006/relationships/hyperlink" Target="http://www.sec.gov/cgi-bin/browse-edgar?action=getcompany&amp;CIK=00017480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2019-12-23T20:24:15Z</dcterms:created>
  <dcterms:modified xsi:type="dcterms:W3CDTF">2019-12-23T20:24:15Z</dcterms:modified>
</cp:coreProperties>
</file>