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530-6_4seq1.xml.htm"/>
      <w:bookmarkStart w:id="1" w:name="kstm26275306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Krepp Sarah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88"/>
        <w:gridCol w:w="454"/>
        <w:gridCol w:w="755"/>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3,178</w:t>
            </w:r>
            <w:r>
              <w:rPr>
                <w:rFonts w:ascii="Times;serif" w:hAnsi="Times;serif"/>
                <w:color w:val="008000"/>
                <w:position w:val="7"/>
                <w:sz w:val="16"/>
                <w:sz w:val="20"/>
                <w:shd w:fill="FFFFFF" w:val="clear"/>
              </w:rPr>
              <w:t>(2)</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120,486</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5,245</w:t>
            </w:r>
            <w:r>
              <w:rPr>
                <w:rFonts w:ascii="Times;serif" w:hAnsi="Times;serif"/>
                <w:color w:val="008000"/>
                <w:position w:val="7"/>
                <w:sz w:val="16"/>
                <w:sz w:val="20"/>
                <w:shd w:fill="FFFFFF" w:val="clear"/>
              </w:rPr>
              <w:t>(5)</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28.48</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115,241</w:t>
            </w:r>
            <w:r>
              <w:rPr>
                <w:rFonts w:ascii="Times;serif" w:hAnsi="Times;serif"/>
                <w:color w:val="008000"/>
                <w:position w:val="7"/>
                <w:sz w:val="16"/>
                <w:sz w:val="20"/>
                <w:shd w:fill="FFFFFF" w:val="clear"/>
              </w:rPr>
              <w:t>(3)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3,178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28,609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Performance stock units ("PSUs")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January 11, 2025, the Reporting Person was granted 50,861 PSUs which vest upon the following time-based vesting schedule: 25% of the PSUs shall vest on January 11, 2026 and the remaining PSUs shall vest ratably on a quarterly basis over three years thereafter. Of those PSUs, a total of 22,252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17,957 unvested restricted stock units ("RSUs") of the 61,465 RSUs granted to the Reporting Person on January 11, 2024, (ii) 5,451 unvested RSUs of the 12,459 RSUs granted to the Reporting Person on July 1, 2024, (iii) 28,609 unvested RSUs of the 50,861 RSUs granted to the Reporting Person on January 11, 2025, (iv) 17,187 unvested RSUs of the 25,000 RSUs granted to the Reporting Person on July 1, 2025 and (v) 23,728 RSUs granted to the Reporting Person on January 16, 2026, none of which have vested as of the date of this Form 4, and (vi) 404 shares acquired under the Liquidia Corporation 2020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Transaction effected pursuant to a Rule 10b5-1 plan adopted by the Reporting Person on December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of common stock were sold to cover taxes associated with the settlement of RSUs and PSUs that were initially granted to the Reporting Person on January 11, 2024, July 1, 2024, January 11, 2025 and July 1,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Krepp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4990"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833</Words>
  <Characters>4342</Characters>
  <CharactersWithSpaces>5084</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