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Adair Jason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419 DAVIS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Liquidia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LQDA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8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166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0000FF"/>
              </w:rPr>
              <w:t>27560</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688</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43.19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177,269</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Rule 10b5-1 plan adopted by the Reporting Person on December 15,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sold to cover taxes associated with the settlement of restricted stock units ("RSUs") that were initially granted to the Reporting Person on July 6, 2023.</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4,687 unvested RSUs of the 25,000 RSUs granted to the Reporting Person on July 6, 2023, (ii) 12,371 unvested RSUs of the 39,588 RSUs granted to the Reporting Person on January 11, 2024, (iii) 34,816 unvested RSUs of the 61,895 RSUs granted to the Reporting Person on January 11, 2025, (iv) 27,683 RSUs granted to the Reporting Person on January 16, 2026, none of which have vested as of the date of this Form 4 and (v) 12,427 shares acquired under the Liquidia Corporation 2020 Employee Stock Purchase Plan.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Jason Adair</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7055" TargetMode="External"/><Relationship Id="rId14" Type="http://schemas.openxmlformats.org/officeDocument/2006/relationships/hyperlink" Target="http://www.sec.gov/cgi-bin/browse-edgar?action=getcompany&amp;CIK=00018195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2026-10-28T15:52:47Z</dcterms:created>
  <dcterms:modified xsi:type="dcterms:W3CDTF">2026-10-28T15:52:47Z</dcterms:modified>
</cp:coreProperties>
</file>