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7530-5_4seq1.xml.htm"/>
      <w:bookmarkStart w:id="1" w:name="kstm26275305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Khindri Sanjeev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Development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1,101</w:t>
            </w:r>
            <w:r>
              <w:rPr>
                <w:rFonts w:ascii="Times;serif" w:hAnsi="Times;serif"/>
                <w:color w:val="008000"/>
                <w:position w:val="7"/>
                <w:sz w:val="16"/>
                <w:sz w:val="20"/>
                <w:shd w:fill="FFFFFF" w:val="clear"/>
              </w:rPr>
              <w:t>(2)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28.48</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64,846</w:t>
            </w:r>
            <w:r>
              <w:rPr>
                <w:rFonts w:ascii="Times;serif" w:hAnsi="Times;serif"/>
                <w:color w:val="008000"/>
                <w:position w:val="7"/>
                <w:sz w:val="16"/>
                <w:sz w:val="20"/>
                <w:shd w:fill="FFFFFF" w:val="clear"/>
              </w:rPr>
              <w:t>(3)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effected pursuant to a Rule 10b5-1 plan adopted by the Reporting Person on March 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of common stock were sold to cover taxes associated with the settlement of restricted stock units ("RSUs") that were initially granted to the Reporting Person on February 10,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23,120 unvested RSUs of the 36,992 RSUs granted to the Reporting Person on February 10, 2025 and (ii) 34,274 RSUs granted to the Reporting Person on January 16, 2026, none of which have vested as of the date of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Sanjeev Khindri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04932"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656</Words>
  <Characters>3514</Characters>
  <CharactersWithSpaces>4101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