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4_4seq1.xml.htm"/>
      <w:bookmarkStart w:id="1" w:name="kstm2627530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Kaseta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5,828</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352,037</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7,049</w:t>
            </w:r>
            <w:r>
              <w:rPr>
                <w:rFonts w:ascii="Times;serif" w:hAnsi="Times;serif"/>
                <w:color w:val="008000"/>
                <w:position w:val="7"/>
                <w:sz w:val="16"/>
                <w:sz w:val="20"/>
                <w:shd w:fill="FFFFFF" w:val="clear"/>
              </w:rPr>
              <w:t>(4)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359,086</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18,938</w:t>
            </w:r>
            <w:r>
              <w:rPr>
                <w:rFonts w:ascii="Times;serif" w:hAnsi="Times;serif"/>
                <w:color w:val="008000"/>
                <w:position w:val="7"/>
                <w:sz w:val="16"/>
                <w:sz w:val="20"/>
                <w:shd w:fill="FFFFFF" w:val="clear"/>
              </w:rPr>
              <w:t>(6)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340,148</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63,448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93,250 PSUs with 25% of the PSUs vesting on January 11, 2025 and the remaining PSUs vesting ratably on a quarterly basis over three years thereafter. Of those PSUs, a total of 64,110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7,792 unvested restricted stock units ("RSUs") of the 124,667 RSUs granted to the Reporting Person on January 11, 2023, (ii) 29,140 unvested RSUs and 15,625 unvested RSUs of the 93,250 RSUs and 50,000 RSUs granted to the Reporting Person on January 11, 2024 and January 15, 2024, respectively, (iii) 63,448 unvested RSUs of the 112,797 RSUs granted to the Reporting Person on January 11, 2025, (iv) 59,320 RSUs granted to the Reporting Person on January 16, 2026, none of which have vested as of the date of this Form 4 and (v) 3,054 shares acquired under the Liquidia Corporation 2020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112,797 PSUs with 25% of the PSUs vesting on January 11, 2026 and the remaining PSUs vesting ratably on a quarterly basis over three years thereafter. Of those PSUs, a total of 49,349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January 15,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Kaseta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4346"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4637</Characters>
  <CharactersWithSpaces>5420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