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Boyle Dana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419 DAVIS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Liquidia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LQDA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80" w:type="dxa"/>
            <w:vAlign w:val="bottom"/>
            <w:tcBorders>
              <w:bottom w:val="single" w:sz="8" w:color="9A9A9A"/>
            </w:tcBorders>
          </w:tcPr>
          <w:p>
            <w:pPr>
              <w:spacing w:after="0"/>
              <w:rPr>
                <w:sz w:val="3"/>
                <w:szCs w:val="3"/>
                <w:color w:val="auto"/>
              </w:rPr>
            </w:pPr>
          </w:p>
        </w:tc>
        <w:tc>
          <w:tcPr>
            <w:tcW w:w="166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7"/>
                <w:szCs w:val="17"/>
                <w:color w:val="0000FF"/>
              </w:rPr>
              <w:t>MORRISVILLE NC</w:t>
            </w:r>
          </w:p>
        </w:tc>
        <w:tc>
          <w:tcPr>
            <w:tcW w:w="1660" w:type="dxa"/>
            <w:vAlign w:val="bottom"/>
          </w:tcPr>
          <w:p>
            <w:pPr>
              <w:jc w:val="right"/>
              <w:ind w:right="653"/>
              <w:spacing w:after="0"/>
              <w:rPr>
                <w:sz w:val="20"/>
                <w:szCs w:val="20"/>
                <w:color w:val="auto"/>
              </w:rPr>
            </w:pPr>
            <w:r>
              <w:rPr>
                <w:rFonts w:ascii="Times New Roman" w:cs="Times New Roman" w:eastAsia="Times New Roman" w:hAnsi="Times New Roman"/>
                <w:sz w:val="17"/>
                <w:szCs w:val="17"/>
                <w:color w:val="0000FF"/>
              </w:rPr>
              <w:t>27560</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1,581</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43.19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164,028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effected pursuant to a Rule 10b5-1 plan adopted by the Reporting Person on December 15,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sold to cover taxes associated with the settlement of restricted stock units ("RSUs") that were initially granted to the Reporting Person on January 25, 2023.</w:t>
      </w:r>
    </w:p>
    <w:p>
      <w:pPr>
        <w:spacing w:after="0" w:line="50"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3,125 unvested restricted stock units ("RSUs") of the 50,000 RSUs granted to the Reporting Person on January 25, 2023, (ii) 17,838 unvested RSUs of the 57,085 RSUs granted to the Reporting Person on January 11, 2024, (iii) 28,609 unvested RSUs of the 50,861 RSUs granted to the Reporting Person on January 11, 2025, (iv) 17,187 unvested RSUs of the 25,000 RSUs granted to the Reporting Person on July 1, 2025, (v) 23,728 RSUs granted to the Reporting Person on January 16, 2026, none of which have vested as of the date of this Form 4 and (vi) 4,368 shares acquired under the Liquidia Corporation 2020 Employee Stock Purchase Plan.</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Dana Boyle</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10/28/2026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4453" TargetMode="External"/><Relationship Id="rId14" Type="http://schemas.openxmlformats.org/officeDocument/2006/relationships/hyperlink" Target="http://www.sec.gov/cgi-bin/browse-edgar?action=getcompany&amp;CIK=00018195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2026-10-28T16:03:09Z</dcterms:created>
  <dcterms:modified xsi:type="dcterms:W3CDTF">2026-10-28T16:03:09Z</dcterms:modified>
</cp:coreProperties>
</file>