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0529-5_4seq1.xml.htm"/>
      <w:bookmarkStart w:id="1" w:name="kstm26205295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Adair Jason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419 DAVIS DRIVE, SUITE 100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MORRISVILLE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27560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Liquidia Corp</w:t>
              </w:r>
            </w:hyperlink>
            <w:r>
              <w:rPr/>
              <w:t xml:space="preserve"> [ </w:t>
            </w:r>
            <w:r>
              <w:rPr>
                <w:rFonts w:ascii="Times;serif" w:hAnsi="Times;serif"/>
                <w:color w:val="0000FF"/>
                <w:sz w:val="24"/>
                <w:shd w:fill="FFFFFF" w:val="clear"/>
              </w:rPr>
              <w:t>LQDA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Business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888"/>
        <w:gridCol w:w="454"/>
        <w:gridCol w:w="755"/>
        <w:gridCol w:w="1195"/>
        <w:gridCol w:w="997"/>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07/10/2026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3,907</w:t>
            </w:r>
            <w:r>
              <w:rPr>
                <w:rFonts w:ascii="Times;serif" w:hAnsi="Times;serif"/>
                <w:color w:val="008000"/>
                <w:position w:val="7"/>
                <w:sz w:val="16"/>
                <w:sz w:val="20"/>
                <w:shd w:fill="FFFFFF" w:val="clear"/>
              </w:rPr>
              <w:t>(2)</w:t>
            </w:r>
            <w:r>
              <w:rPr/>
              <w:t xml:space="preserve"> </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218,645</w:t>
            </w:r>
            <w:r>
              <w:rPr>
                <w:rFonts w:ascii="Times;serif" w:hAnsi="Times;serif"/>
                <w:color w:val="008000"/>
                <w:position w:val="7"/>
                <w:sz w:val="16"/>
                <w:sz w:val="20"/>
                <w:shd w:fill="FFFFFF" w:val="clear"/>
              </w:rPr>
              <w:t>(3)</w:t>
            </w:r>
            <w:r>
              <w:rPr/>
              <w:t xml:space="preserve"> </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07/10/2026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2,475</w:t>
            </w:r>
            <w:r>
              <w:rPr>
                <w:rFonts w:ascii="Times;serif" w:hAnsi="Times;serif"/>
                <w:color w:val="008000"/>
                <w:position w:val="7"/>
                <w:sz w:val="16"/>
                <w:sz w:val="20"/>
                <w:shd w:fill="FFFFFF" w:val="clear"/>
              </w:rPr>
              <w:t>(5)</w:t>
            </w:r>
            <w:r>
              <w:rPr/>
              <w:t xml:space="preserve"> </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1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221,120</w:t>
            </w:r>
            <w:r>
              <w:rPr>
                <w:rFonts w:ascii="Times;serif" w:hAnsi="Times;serif"/>
                <w:color w:val="008000"/>
                <w:position w:val="7"/>
                <w:sz w:val="16"/>
                <w:sz w:val="20"/>
                <w:shd w:fill="FFFFFF" w:val="clear"/>
              </w:rPr>
              <w:t>(3)</w:t>
            </w:r>
            <w:r>
              <w:rPr/>
              <w:t xml:space="preserve"> </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07/10/2026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3,869</w:t>
            </w:r>
            <w:r>
              <w:rPr>
                <w:rFonts w:ascii="Times;serif" w:hAnsi="Times;serif"/>
                <w:color w:val="008000"/>
                <w:position w:val="7"/>
                <w:sz w:val="16"/>
                <w:sz w:val="20"/>
                <w:shd w:fill="FFFFFF" w:val="clear"/>
              </w:rPr>
              <w:t>(6)</w:t>
            </w:r>
            <w:r>
              <w:rPr/>
              <w:t xml:space="preserve"> </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1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224,989</w:t>
            </w:r>
            <w:r>
              <w:rPr>
                <w:rFonts w:ascii="Times;serif" w:hAnsi="Times;serif"/>
                <w:color w:val="008000"/>
                <w:position w:val="7"/>
                <w:sz w:val="16"/>
                <w:sz w:val="20"/>
                <w:shd w:fill="FFFFFF" w:val="clear"/>
              </w:rPr>
              <w:t>(3)</w:t>
            </w:r>
            <w:r>
              <w:rPr/>
              <w:t xml:space="preserve"> </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07/13/2026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(7)</w:t>
            </w:r>
            <w:r>
              <w:rPr/>
              <w:t xml:space="preserve"> </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562</w:t>
            </w:r>
            <w:r>
              <w:rPr>
                <w:rFonts w:ascii="Times;serif" w:hAnsi="Times;serif"/>
                <w:color w:val="008000"/>
                <w:position w:val="7"/>
                <w:sz w:val="16"/>
                <w:sz w:val="20"/>
                <w:shd w:fill="FFFFFF" w:val="clear"/>
              </w:rPr>
              <w:t>(8)</w:t>
            </w:r>
            <w:r>
              <w:rPr/>
              <w:t xml:space="preserve"> </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71.39</w:t>
            </w:r>
            <w:r>
              <w:rPr/>
              <w:t xml:space="preserve"> </w:t>
            </w:r>
          </w:p>
        </w:tc>
        <w:tc>
          <w:tcPr>
            <w:tcW w:w="11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224,427</w:t>
            </w:r>
            <w:r>
              <w:rPr>
                <w:rFonts w:ascii="Times;serif" w:hAnsi="Times;serif"/>
                <w:color w:val="008000"/>
                <w:position w:val="7"/>
                <w:sz w:val="16"/>
                <w:sz w:val="20"/>
                <w:shd w:fill="FFFFFF" w:val="clear"/>
              </w:rPr>
              <w:t>(3)</w:t>
            </w:r>
            <w:r>
              <w:rPr/>
              <w:t xml:space="preserve"> </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07/13/2026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(7)</w:t>
            </w:r>
            <w:r>
              <w:rPr/>
              <w:t xml:space="preserve"> </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7,301</w:t>
            </w:r>
            <w:r>
              <w:rPr>
                <w:rFonts w:ascii="Times;serif" w:hAnsi="Times;serif"/>
                <w:color w:val="008000"/>
                <w:position w:val="7"/>
                <w:sz w:val="16"/>
                <w:sz w:val="20"/>
                <w:shd w:fill="FFFFFF" w:val="clear"/>
              </w:rPr>
              <w:t>(8)</w:t>
            </w:r>
            <w:r>
              <w:rPr/>
              <w:t xml:space="preserve"> </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71.52</w:t>
            </w:r>
            <w:r>
              <w:rPr/>
              <w:t xml:space="preserve"> </w:t>
            </w:r>
          </w:p>
        </w:tc>
        <w:tc>
          <w:tcPr>
            <w:tcW w:w="11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217,126</w:t>
            </w:r>
            <w:r>
              <w:rPr>
                <w:rFonts w:ascii="Times;serif" w:hAnsi="Times;serif"/>
                <w:color w:val="008000"/>
                <w:position w:val="7"/>
                <w:sz w:val="16"/>
                <w:sz w:val="20"/>
                <w:shd w:fill="FFFFFF" w:val="clear"/>
              </w:rPr>
              <w:t>(3)</w:t>
            </w:r>
            <w:r>
              <w:rPr/>
              <w:t xml:space="preserve"> </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49"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214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3,907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3,907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7,812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2,475</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2,475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14,845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3,869</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3,869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38,684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("RSUs") convert into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January 11, 2023, the Reporting Person was granted 62,500 RSUs with 25% of the RSUs vesting on January 11, 2024 and the remaining RSUs vesting ratably on a quarterly basis over three years thereafter. Of those RSUs, a total of 54,688 have vested as of the date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(i) 7,812 unvested RSUs of the 25,000 RSUs granted to the Reporting Person on July 6, 2023, (ii) 14,845 unvested RSUs of the 39,588 RSUs granted to the Reporting Person on January 11, 2024, (iii) 38,684 unvested RSUs of the 61,895 RSUs granted to the Reporting Person on January 11, 2025, (iv) 27,683 RSUs granted to the Reporting Person on January 16, 2026, none of which have vested as of the date of this Form 4 and (v) 12,023 shares acquired under the Liquidia Corporation 2020 Employee Stock Purchase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Performance stock units ("PSUs") convert into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On January 11, 2024, the Reporting Person was granted 39,588 PSUs which vest upon the following time-based vesting schedule: 25% of the PSUs shall vest on January 11, 2025 and the remaining PSUs shall vest ratably on a quarterly basis over three years thereafter. Of those PSUs, a total of 24,743 have vested as of the date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On January 11, 2025, the Reporting Person was granted 61,895 PSUs which vest upon the following time-based vesting schedule: 25% of the PSUs shall vest on January 11, 2026 and the remaining PSUs shall vest ratably on a quarterly basis over three years thereafter. Of those PSUs, a total of 23,211 have vested as of the date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Transaction effected pursuant to a Rule 10b5-1 plan adopted by the Reporting Person on December 15,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These shares of common stock were sold to cover taxes associated with the settlement of RSUs and PSUs that were initially granted to the Reporting Person on January 11, 2023, January 11, 2024 and January 11, 2025.</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Jason Adair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47055" TargetMode="External"/><Relationship Id="rId5" Type="http://schemas.openxmlformats.org/officeDocument/2006/relationships/hyperlink" Target="http://www.sec.gov/cgi-bin/browse-edgar?action=getcompany&amp;CIK=000181957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990</Words>
  <Characters>5071</Characters>
  <CharactersWithSpaces>5949</CharactersWithSpaces>
  <Paragraphs>170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