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3_4seq1.xml.htm"/>
      <w:bookmarkStart w:id="1" w:name="kstm2627530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JEFFS ROGER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56"/>
        <w:gridCol w:w="433"/>
        <w:gridCol w:w="743"/>
        <w:gridCol w:w="1297"/>
        <w:gridCol w:w="97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13,833</w:t>
            </w:r>
            <w:r>
              <w:rPr>
                <w:rFonts w:ascii="Times;serif" w:hAnsi="Times;serif"/>
                <w:color w:val="008000"/>
                <w:position w:val="7"/>
                <w:sz w:val="16"/>
                <w:sz w:val="20"/>
                <w:shd w:fill="FFFFFF" w:val="clear"/>
              </w:rPr>
              <w:t>(2)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1,144,259</w:t>
            </w:r>
            <w:r>
              <w:rPr>
                <w:rFonts w:ascii="Times;serif" w:hAnsi="Times;serif"/>
                <w:color w:val="008000"/>
                <w:position w:val="7"/>
                <w:sz w:val="16"/>
                <w:sz w:val="20"/>
                <w:shd w:fill="FFFFFF" w:val="clear"/>
              </w:rPr>
              <w:t>(3)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14,333</w:t>
            </w:r>
            <w:r>
              <w:rPr>
                <w:rFonts w:ascii="Times;serif" w:hAnsi="Times;serif"/>
                <w:color w:val="008000"/>
                <w:position w:val="7"/>
                <w:sz w:val="16"/>
                <w:sz w:val="20"/>
                <w:shd w:fill="FFFFFF" w:val="clear"/>
              </w:rPr>
              <w:t>(4)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1,158,592</w:t>
            </w:r>
            <w:r>
              <w:rPr>
                <w:rFonts w:ascii="Times;serif" w:hAnsi="Times;serif"/>
                <w:color w:val="008000"/>
                <w:position w:val="7"/>
                <w:sz w:val="16"/>
                <w:sz w:val="20"/>
                <w:shd w:fill="FFFFFF" w:val="clear"/>
              </w:rPr>
              <w:t>(3)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32,744</w:t>
            </w:r>
            <w:r>
              <w:rPr>
                <w:rFonts w:ascii="Times;serif" w:hAnsi="Times;serif"/>
                <w:color w:val="008000"/>
                <w:position w:val="7"/>
                <w:sz w:val="16"/>
                <w:sz w:val="20"/>
                <w:shd w:fill="FFFFFF" w:val="clear"/>
              </w:rPr>
              <w:t>(6)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1,125,848</w:t>
            </w:r>
            <w:r>
              <w:rPr>
                <w:rFonts w:ascii="Times;serif" w:hAnsi="Times;serif"/>
                <w:color w:val="008000"/>
                <w:position w:val="7"/>
                <w:sz w:val="16"/>
                <w:sz w:val="20"/>
                <w:shd w:fill="FFFFFF" w:val="clear"/>
              </w:rPr>
              <w:t>(3)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1,041,667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69,168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128,996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221,338 PSUs which vest upon the following time-based vesting schedule: 25% of the PSUs shall vest on January 11, 2025 and the remaining PSUs vesting ratably on a quarterly basis over three years thereafter. Of those PSUs, a total of 152,170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18,094 unvested restricted stock units ("RSUs") of the 289,500 RSUs granted to the Reporting Person on January 11, 2023, (ii) 69,168 unvested RSUs of the 221,338 RSUs granted to the Reporting Person on January 11, 2024, (iii) 128,996 unvested RSUs of the 229,327 RSUs granted to the Reporting Person on January 11, 2025 and (iv) 115,344 RSUs granted to the Reporting Person on January 16, 2026, none of which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229,327 PSUs which vest upon the following time-based vesting schedule: 25% of the PSUs shall vest on January 11, 2026 and the remaining PSUs vesting ratably on a quarterly basis over three years thereafter. Of those PSUs, a total of 100,331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were sold to cover taxes associated with the settlement of RSUs and PSUs that were initially granted to the Reporting Person on January 11, 2023, January 11, 2024 and January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are held by Roger A. Jeffs Living Trust UAD 2/29/2000 (the "Trust"). The Reporting Person is the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securities are held by Serendipity BioPharma LLC ("Serendipity"). The Reporting Person is a manager of Serendipity and has sole voting and dispositive power over the Issuer common stock held by Serendipity.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Roger Jeffs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161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948</Words>
  <Characters>4943</Characters>
  <CharactersWithSpaces>5769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